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8B25" w14:textId="77777777" w:rsidR="007C753C" w:rsidRDefault="001C0E70" w:rsidP="001C0E70">
      <w:pPr>
        <w:ind w:left="708" w:hanging="708"/>
        <w:rPr>
          <w:sz w:val="32"/>
          <w:szCs w:val="32"/>
        </w:rPr>
      </w:pPr>
      <w:r w:rsidRPr="00BB71D4">
        <w:rPr>
          <w:sz w:val="32"/>
          <w:szCs w:val="32"/>
        </w:rPr>
        <w:t xml:space="preserve">Unternehmenskurzportrait: </w:t>
      </w:r>
      <w:r w:rsidR="00814057" w:rsidRPr="00BB71D4">
        <w:rPr>
          <w:sz w:val="32"/>
          <w:szCs w:val="32"/>
        </w:rPr>
        <w:t>Beta Systems Software AG</w:t>
      </w:r>
      <w:r w:rsidR="007C753C">
        <w:rPr>
          <w:sz w:val="32"/>
          <w:szCs w:val="32"/>
        </w:rPr>
        <w:t xml:space="preserve"> </w:t>
      </w:r>
    </w:p>
    <w:p w14:paraId="30A105D7" w14:textId="5DC68F55" w:rsidR="00443B33" w:rsidRPr="00BB71D4" w:rsidRDefault="007C753C" w:rsidP="001C0E70">
      <w:pPr>
        <w:ind w:left="708" w:hanging="708"/>
        <w:rPr>
          <w:sz w:val="32"/>
          <w:szCs w:val="32"/>
        </w:rPr>
      </w:pPr>
      <w:r>
        <w:rPr>
          <w:sz w:val="32"/>
          <w:szCs w:val="32"/>
        </w:rPr>
        <w:t>(vormals SPARTA AG)</w:t>
      </w:r>
    </w:p>
    <w:p w14:paraId="2C69DE86" w14:textId="607FF3B4" w:rsidR="00814057" w:rsidRDefault="00814057" w:rsidP="001C0E70">
      <w:pPr>
        <w:ind w:left="708" w:hanging="708"/>
      </w:pPr>
      <w:r w:rsidRPr="00AA0914">
        <w:t>Stand:</w:t>
      </w:r>
      <w:r w:rsidR="00D575C4">
        <w:t xml:space="preserve"> </w:t>
      </w:r>
      <w:r w:rsidR="00C30C8A">
        <w:t>Januar</w:t>
      </w:r>
      <w:r w:rsidR="00E37082">
        <w:t xml:space="preserve"> 202</w:t>
      </w:r>
      <w:r w:rsidR="00C30C8A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58EE" w14:paraId="03D7FF56" w14:textId="77777777" w:rsidTr="002A42B7">
        <w:tc>
          <w:tcPr>
            <w:tcW w:w="9062" w:type="dxa"/>
            <w:gridSpan w:val="2"/>
            <w:shd w:val="clear" w:color="auto" w:fill="AEAAAA" w:themeFill="background2" w:themeFillShade="BF"/>
          </w:tcPr>
          <w:p w14:paraId="748A9737" w14:textId="77777777" w:rsidR="006858EE" w:rsidRDefault="006858EE">
            <w:r w:rsidRPr="001C0E70">
              <w:t>Unternehmensinformationen</w:t>
            </w:r>
            <w:r w:rsidRPr="001C0E70">
              <w:tab/>
            </w:r>
          </w:p>
        </w:tc>
      </w:tr>
      <w:tr w:rsidR="001C0E70" w14:paraId="1D842F59" w14:textId="77777777" w:rsidTr="001C0E70">
        <w:tc>
          <w:tcPr>
            <w:tcW w:w="4531" w:type="dxa"/>
          </w:tcPr>
          <w:p w14:paraId="106B3E84" w14:textId="77777777" w:rsidR="001C0E70" w:rsidRDefault="001C0E70">
            <w:r w:rsidRPr="001C0E70">
              <w:t>Unternehmen</w:t>
            </w:r>
            <w:r w:rsidRPr="001C0E70">
              <w:tab/>
            </w:r>
          </w:p>
        </w:tc>
        <w:tc>
          <w:tcPr>
            <w:tcW w:w="4531" w:type="dxa"/>
          </w:tcPr>
          <w:p w14:paraId="7D4A113C" w14:textId="77777777" w:rsidR="001C0E70" w:rsidRDefault="001C0E70">
            <w:r w:rsidRPr="001C0E70">
              <w:t>Beta Systems Software AG</w:t>
            </w:r>
          </w:p>
        </w:tc>
      </w:tr>
      <w:tr w:rsidR="001C0E70" w14:paraId="49EAA840" w14:textId="77777777" w:rsidTr="001C0E70">
        <w:tc>
          <w:tcPr>
            <w:tcW w:w="4531" w:type="dxa"/>
          </w:tcPr>
          <w:p w14:paraId="7319293E" w14:textId="77777777" w:rsidR="001C0E70" w:rsidRDefault="001C0E70">
            <w:r w:rsidRPr="001C0E70">
              <w:t>Gründungsdatum</w:t>
            </w:r>
            <w:r w:rsidRPr="001C0E70">
              <w:tab/>
            </w:r>
          </w:p>
        </w:tc>
        <w:tc>
          <w:tcPr>
            <w:tcW w:w="4531" w:type="dxa"/>
          </w:tcPr>
          <w:p w14:paraId="27502D68" w14:textId="15A216A9" w:rsidR="001C0E70" w:rsidRDefault="00B971BA">
            <w:r>
              <w:t>28.04.1995</w:t>
            </w:r>
            <w:r w:rsidR="001C0E70" w:rsidRPr="001C0E70">
              <w:tab/>
            </w:r>
          </w:p>
        </w:tc>
      </w:tr>
      <w:tr w:rsidR="002D0704" w14:paraId="72C5071C" w14:textId="77777777" w:rsidTr="001C0E70">
        <w:tc>
          <w:tcPr>
            <w:tcW w:w="4531" w:type="dxa"/>
          </w:tcPr>
          <w:p w14:paraId="4A45854D" w14:textId="77777777" w:rsidR="002D0704" w:rsidRPr="001C0E70" w:rsidRDefault="002D0704">
            <w:r>
              <w:t>Gründungsland</w:t>
            </w:r>
          </w:p>
        </w:tc>
        <w:tc>
          <w:tcPr>
            <w:tcW w:w="4531" w:type="dxa"/>
          </w:tcPr>
          <w:p w14:paraId="6817C3F2" w14:textId="77777777" w:rsidR="002D0704" w:rsidRPr="001C0E70" w:rsidRDefault="002D0704">
            <w:r>
              <w:t>Deutschland</w:t>
            </w:r>
          </w:p>
        </w:tc>
      </w:tr>
      <w:tr w:rsidR="001C0E70" w14:paraId="625B6CEB" w14:textId="77777777" w:rsidTr="001C0E70">
        <w:tc>
          <w:tcPr>
            <w:tcW w:w="4531" w:type="dxa"/>
          </w:tcPr>
          <w:p w14:paraId="0BAEA21B" w14:textId="77777777" w:rsidR="001C0E70" w:rsidRDefault="001C0E70">
            <w:r w:rsidRPr="001C0E70">
              <w:t>Rechnungslegungsstandard</w:t>
            </w:r>
            <w:r w:rsidRPr="001C0E70">
              <w:tab/>
            </w:r>
          </w:p>
        </w:tc>
        <w:tc>
          <w:tcPr>
            <w:tcW w:w="4531" w:type="dxa"/>
          </w:tcPr>
          <w:p w14:paraId="458D8CB2" w14:textId="77777777" w:rsidR="001C0E70" w:rsidRDefault="001C0E70">
            <w:r w:rsidRPr="001C0E70">
              <w:t>IFRS</w:t>
            </w:r>
            <w:r w:rsidRPr="001C0E70">
              <w:tab/>
            </w:r>
          </w:p>
        </w:tc>
      </w:tr>
      <w:tr w:rsidR="001C0E70" w14:paraId="2DAD7C4E" w14:textId="77777777" w:rsidTr="001C0E70">
        <w:tc>
          <w:tcPr>
            <w:tcW w:w="4531" w:type="dxa"/>
          </w:tcPr>
          <w:p w14:paraId="686E4E8F" w14:textId="77777777" w:rsidR="001C0E70" w:rsidRDefault="002D0704">
            <w:r>
              <w:t>Konsolidierungspflicht</w:t>
            </w:r>
          </w:p>
        </w:tc>
        <w:tc>
          <w:tcPr>
            <w:tcW w:w="4531" w:type="dxa"/>
          </w:tcPr>
          <w:p w14:paraId="6AC89FF5" w14:textId="77777777" w:rsidR="001C0E70" w:rsidRDefault="002D0704">
            <w:r>
              <w:t>ja</w:t>
            </w:r>
          </w:p>
        </w:tc>
      </w:tr>
      <w:tr w:rsidR="002D0704" w:rsidRPr="00AA0914" w14:paraId="4258365A" w14:textId="77777777" w:rsidTr="001C0E70">
        <w:tc>
          <w:tcPr>
            <w:tcW w:w="4531" w:type="dxa"/>
          </w:tcPr>
          <w:p w14:paraId="73869160" w14:textId="77777777" w:rsidR="002D0704" w:rsidRPr="001C0E70" w:rsidRDefault="002D0704">
            <w:r>
              <w:t>Ende des Geschäftsjahres</w:t>
            </w:r>
          </w:p>
        </w:tc>
        <w:tc>
          <w:tcPr>
            <w:tcW w:w="4531" w:type="dxa"/>
          </w:tcPr>
          <w:p w14:paraId="0C84164D" w14:textId="77777777" w:rsidR="002D0704" w:rsidRPr="00B24C35" w:rsidRDefault="002D0704" w:rsidP="002D0704">
            <w:r>
              <w:t>30. September</w:t>
            </w:r>
          </w:p>
        </w:tc>
      </w:tr>
      <w:tr w:rsidR="001C0E70" w:rsidRPr="00512E77" w14:paraId="33768795" w14:textId="77777777" w:rsidTr="001C0E70">
        <w:tc>
          <w:tcPr>
            <w:tcW w:w="4531" w:type="dxa"/>
          </w:tcPr>
          <w:p w14:paraId="4D2A053E" w14:textId="77777777" w:rsidR="001C0E70" w:rsidRDefault="001C0E70">
            <w:r w:rsidRPr="001C0E70">
              <w:t>Namen und Funktionen der Mitglieder des Vorstandes bzw. der Geschäftsführung</w:t>
            </w:r>
          </w:p>
        </w:tc>
        <w:tc>
          <w:tcPr>
            <w:tcW w:w="4531" w:type="dxa"/>
          </w:tcPr>
          <w:p w14:paraId="776EE77D" w14:textId="77777777" w:rsidR="00DF25E8" w:rsidRPr="003433B6" w:rsidRDefault="00DF25E8" w:rsidP="00D575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3"/>
              <w:rPr>
                <w:rFonts w:ascii="Calibri" w:hAnsi="Calibri" w:cs="Calibri"/>
                <w:lang w:val="en-US"/>
              </w:rPr>
            </w:pPr>
            <w:r w:rsidRPr="003433B6">
              <w:rPr>
                <w:rFonts w:ascii="Calibri" w:hAnsi="Calibri" w:cs="Calibri"/>
                <w:lang w:val="en-US"/>
              </w:rPr>
              <w:t>Gerald Schmedding</w:t>
            </w:r>
          </w:p>
          <w:p w14:paraId="74B3ACD4" w14:textId="0EA2D985" w:rsidR="00DF25E8" w:rsidRPr="009E4FD1" w:rsidRDefault="00DF25E8" w:rsidP="0028096D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Calibri" w:hAnsi="Calibri" w:cs="Calibri"/>
                <w:lang w:val="en-GB"/>
              </w:rPr>
            </w:pPr>
            <w:r w:rsidRPr="003433B6">
              <w:rPr>
                <w:rFonts w:ascii="Calibri" w:hAnsi="Calibri" w:cs="Calibri"/>
                <w:lang w:val="en-US"/>
              </w:rPr>
              <w:t>(</w:t>
            </w:r>
            <w:r w:rsidR="0018771D">
              <w:rPr>
                <w:rFonts w:ascii="Calibri" w:hAnsi="Calibri" w:cs="Calibri"/>
                <w:lang w:val="en-US"/>
              </w:rPr>
              <w:t>Finance</w:t>
            </w:r>
            <w:r w:rsidR="0028096D" w:rsidRPr="0028096D">
              <w:rPr>
                <w:rFonts w:ascii="Calibri" w:hAnsi="Calibri" w:cs="Calibri"/>
                <w:lang w:val="en-US"/>
              </w:rPr>
              <w:t xml:space="preserve">, </w:t>
            </w:r>
            <w:r w:rsidR="007156E6">
              <w:rPr>
                <w:rFonts w:ascii="Calibri" w:hAnsi="Calibri" w:cs="Calibri"/>
                <w:lang w:val="en-US"/>
              </w:rPr>
              <w:t>Human Resources, Legal</w:t>
            </w:r>
            <w:r w:rsidR="00A86FA0">
              <w:rPr>
                <w:rFonts w:ascii="Calibri" w:hAnsi="Calibri" w:cs="Calibri"/>
                <w:lang w:val="en-US"/>
              </w:rPr>
              <w:t xml:space="preserve"> &amp; </w:t>
            </w:r>
            <w:r w:rsidR="0018771D">
              <w:rPr>
                <w:rFonts w:ascii="Calibri" w:hAnsi="Calibri" w:cs="Calibri"/>
                <w:lang w:val="en-US"/>
              </w:rPr>
              <w:t>Investor Relations</w:t>
            </w:r>
            <w:r w:rsidR="00A86FA0">
              <w:rPr>
                <w:rFonts w:ascii="Calibri" w:hAnsi="Calibri" w:cs="Calibri"/>
                <w:lang w:val="en-US"/>
              </w:rPr>
              <w:t xml:space="preserve">, </w:t>
            </w:r>
            <w:r w:rsidR="0018771D" w:rsidRPr="009E4FD1">
              <w:rPr>
                <w:rFonts w:ascii="Calibri" w:hAnsi="Calibri" w:cs="Calibri"/>
                <w:lang w:val="en-GB"/>
              </w:rPr>
              <w:t>Corporate Functions</w:t>
            </w:r>
            <w:r w:rsidR="00665E59" w:rsidRPr="009E4FD1">
              <w:rPr>
                <w:rFonts w:ascii="Calibri" w:hAnsi="Calibri" w:cs="Calibri"/>
                <w:lang w:val="en-GB"/>
              </w:rPr>
              <w:t>,</w:t>
            </w:r>
            <w:r w:rsidR="0028096D" w:rsidRPr="009E4FD1">
              <w:rPr>
                <w:rFonts w:ascii="Calibri" w:hAnsi="Calibri" w:cs="Calibri"/>
                <w:lang w:val="en-GB"/>
              </w:rPr>
              <w:t xml:space="preserve"> </w:t>
            </w:r>
            <w:r w:rsidR="0018771D" w:rsidRPr="009E4FD1">
              <w:rPr>
                <w:rFonts w:ascii="Calibri" w:hAnsi="Calibri" w:cs="Calibri"/>
                <w:lang w:val="en-GB"/>
              </w:rPr>
              <w:t xml:space="preserve">Compliance, </w:t>
            </w:r>
            <w:r w:rsidR="00A86FA0" w:rsidRPr="009E4FD1">
              <w:rPr>
                <w:rFonts w:ascii="Calibri" w:hAnsi="Calibri" w:cs="Calibri"/>
                <w:lang w:val="en-GB"/>
              </w:rPr>
              <w:t>M&amp;A, Corporate Strategy</w:t>
            </w:r>
            <w:r w:rsidR="00DD6DF4">
              <w:rPr>
                <w:rFonts w:ascii="Calibri" w:hAnsi="Calibri" w:cs="Calibri"/>
                <w:lang w:val="en-GB"/>
              </w:rPr>
              <w:t xml:space="preserve">, </w:t>
            </w:r>
            <w:r w:rsidR="00DD6DF4" w:rsidRPr="00DD6DF4">
              <w:rPr>
                <w:rFonts w:ascii="Calibri" w:hAnsi="Calibri" w:cs="Calibri"/>
                <w:lang w:val="en-GB"/>
              </w:rPr>
              <w:t>Vertrieb Bestandskunden</w:t>
            </w:r>
            <w:r w:rsidR="0028096D" w:rsidRPr="009E4FD1">
              <w:rPr>
                <w:rFonts w:ascii="Calibri" w:hAnsi="Calibri" w:cs="Calibri"/>
                <w:lang w:val="en-GB"/>
              </w:rPr>
              <w:t>)</w:t>
            </w:r>
            <w:r w:rsidR="0028096D" w:rsidRPr="009E4FD1" w:rsidDel="0028096D">
              <w:rPr>
                <w:rFonts w:ascii="Calibri" w:hAnsi="Calibri" w:cs="Calibri"/>
                <w:lang w:val="en-GB"/>
              </w:rPr>
              <w:t xml:space="preserve"> </w:t>
            </w:r>
          </w:p>
          <w:p w14:paraId="158ED927" w14:textId="77777777" w:rsidR="00D575C4" w:rsidRDefault="00D575C4" w:rsidP="00D575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 w:hanging="28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Mirko Minnich</w:t>
            </w:r>
          </w:p>
          <w:p w14:paraId="7B743086" w14:textId="35B3F937" w:rsidR="00D575C4" w:rsidRPr="007C753C" w:rsidRDefault="00454E91" w:rsidP="007C753C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(</w:t>
            </w:r>
            <w:r w:rsidR="0018771D">
              <w:rPr>
                <w:rFonts w:ascii="Calibri" w:hAnsi="Calibri" w:cs="Calibri"/>
                <w:lang w:val="en-US"/>
              </w:rPr>
              <w:t xml:space="preserve">Product Development, Product Strategy </w:t>
            </w:r>
            <w:r w:rsidR="00CF3FD2">
              <w:rPr>
                <w:rFonts w:ascii="Calibri" w:hAnsi="Calibri" w:cs="Calibri"/>
                <w:lang w:val="en-US"/>
              </w:rPr>
              <w:t>&amp;</w:t>
            </w:r>
            <w:r w:rsidR="0018771D">
              <w:rPr>
                <w:rFonts w:ascii="Calibri" w:hAnsi="Calibri" w:cs="Calibri"/>
                <w:lang w:val="en-US"/>
              </w:rPr>
              <w:t xml:space="preserve"> Product Management, Support, Professional Services DCI, IT-Services</w:t>
            </w:r>
            <w:r w:rsidR="0028096D">
              <w:rPr>
                <w:rFonts w:ascii="Calibri" w:hAnsi="Calibri" w:cs="Calibri"/>
                <w:lang w:val="en-US"/>
              </w:rPr>
              <w:t xml:space="preserve"> M&amp;A</w:t>
            </w:r>
            <w:r w:rsidR="0018771D">
              <w:rPr>
                <w:rFonts w:ascii="Calibri" w:hAnsi="Calibri" w:cs="Calibri"/>
                <w:lang w:val="en-US"/>
              </w:rPr>
              <w:t>, Corporate Strategy</w:t>
            </w:r>
            <w:r w:rsidR="00DD6DF4">
              <w:rPr>
                <w:rFonts w:ascii="Calibri" w:hAnsi="Calibri" w:cs="Calibri"/>
                <w:lang w:val="en-US"/>
              </w:rPr>
              <w:t xml:space="preserve">, </w:t>
            </w:r>
            <w:r w:rsidR="00DD6DF4" w:rsidRPr="00DD6DF4">
              <w:rPr>
                <w:rFonts w:eastAsia="Times New Roman"/>
                <w:lang w:val="en-US"/>
              </w:rPr>
              <w:t>Vertrieb Neukunden</w:t>
            </w:r>
            <w:r w:rsidR="00DD6DF4">
              <w:rPr>
                <w:rFonts w:eastAsia="Times New Roman"/>
                <w:lang w:val="en-US"/>
              </w:rPr>
              <w:t xml:space="preserve">, </w:t>
            </w:r>
            <w:r w:rsidR="00DD6DF4" w:rsidRPr="00DD6DF4">
              <w:rPr>
                <w:rFonts w:eastAsia="Times New Roman"/>
                <w:lang w:val="en-US"/>
              </w:rPr>
              <w:t>Marketing</w:t>
            </w:r>
            <w:r w:rsidR="0028096D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1C0E70" w:rsidRPr="001C0E70" w14:paraId="17DA5C5F" w14:textId="77777777" w:rsidTr="001C0E70">
        <w:tc>
          <w:tcPr>
            <w:tcW w:w="4531" w:type="dxa"/>
          </w:tcPr>
          <w:p w14:paraId="653C1F31" w14:textId="77777777" w:rsidR="001C0E70" w:rsidRPr="001C0E70" w:rsidRDefault="001C0E70">
            <w:r w:rsidRPr="001C0E70">
              <w:t>Namen der Mitglieder des Aufsichtsrates</w:t>
            </w:r>
          </w:p>
        </w:tc>
        <w:tc>
          <w:tcPr>
            <w:tcW w:w="4531" w:type="dxa"/>
          </w:tcPr>
          <w:p w14:paraId="4E858041" w14:textId="698BF3FC" w:rsidR="00E25CDF" w:rsidRPr="00B24C35" w:rsidRDefault="00C24D82" w:rsidP="00DC2AF9">
            <w:pPr>
              <w:pStyle w:val="ListParagraph"/>
              <w:numPr>
                <w:ilvl w:val="0"/>
                <w:numId w:val="2"/>
              </w:numPr>
              <w:ind w:left="459" w:hanging="283"/>
            </w:pPr>
            <w:r>
              <w:t>Armin Steiner</w:t>
            </w:r>
            <w:r w:rsidR="00E25CDF" w:rsidRPr="00B24C35">
              <w:t xml:space="preserve"> (Vorsitzender)</w:t>
            </w:r>
          </w:p>
          <w:p w14:paraId="581264EF" w14:textId="68A2DD7D" w:rsidR="00B971BA" w:rsidRDefault="00C7544A" w:rsidP="00B971BA">
            <w:pPr>
              <w:pStyle w:val="ListParagraph"/>
              <w:numPr>
                <w:ilvl w:val="0"/>
                <w:numId w:val="2"/>
              </w:numPr>
              <w:ind w:left="459" w:hanging="283"/>
            </w:pPr>
            <w:r w:rsidRPr="00B24C35">
              <w:t>Jens-Martin Jüttner</w:t>
            </w:r>
            <w:r w:rsidRPr="00B971BA">
              <w:t xml:space="preserve"> </w:t>
            </w:r>
            <w:r w:rsidR="00B971BA">
              <w:t>(stellvertr.</w:t>
            </w:r>
            <w:r w:rsidR="00B971BA" w:rsidRPr="00B24C35">
              <w:t xml:space="preserve"> Vorsitzender)</w:t>
            </w:r>
          </w:p>
          <w:p w14:paraId="72961534" w14:textId="7DF761C2" w:rsidR="00E25CDF" w:rsidRPr="00B24C35" w:rsidRDefault="00C7544A" w:rsidP="00DC2AF9">
            <w:pPr>
              <w:pStyle w:val="ListParagraph"/>
              <w:numPr>
                <w:ilvl w:val="0"/>
                <w:numId w:val="2"/>
              </w:numPr>
              <w:ind w:left="459" w:hanging="283"/>
            </w:pPr>
            <w:r>
              <w:t>Hans-Jörg Schmidt</w:t>
            </w:r>
          </w:p>
          <w:p w14:paraId="342ADB8C" w14:textId="77777777" w:rsidR="00E85C26" w:rsidRDefault="00E85C26" w:rsidP="00E85C26">
            <w:pPr>
              <w:pStyle w:val="ListParagraph"/>
              <w:numPr>
                <w:ilvl w:val="0"/>
                <w:numId w:val="2"/>
              </w:numPr>
              <w:ind w:left="459" w:hanging="283"/>
            </w:pPr>
            <w:r>
              <w:t>Veit Paas</w:t>
            </w:r>
          </w:p>
          <w:p w14:paraId="51F3FA69" w14:textId="570D4C09" w:rsidR="00F9158A" w:rsidRPr="001C0E70" w:rsidRDefault="001C0E70" w:rsidP="00E85C26">
            <w:pPr>
              <w:pStyle w:val="ListParagraph"/>
              <w:numPr>
                <w:ilvl w:val="0"/>
                <w:numId w:val="2"/>
              </w:numPr>
              <w:ind w:left="459" w:hanging="283"/>
            </w:pPr>
            <w:r w:rsidRPr="00B24C35">
              <w:t xml:space="preserve">Stefan Hillenbach </w:t>
            </w:r>
          </w:p>
        </w:tc>
      </w:tr>
      <w:tr w:rsidR="00E25CDF" w:rsidRPr="001C0E70" w14:paraId="0B7720AF" w14:textId="77777777" w:rsidTr="00E25CDF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F167444" w14:textId="77777777" w:rsidR="00E25CDF" w:rsidRPr="001C0E70" w:rsidRDefault="00E25CDF" w:rsidP="00814057">
            <w:r w:rsidRPr="001C0E70">
              <w:t xml:space="preserve">Geschäftsbeschreibung </w:t>
            </w:r>
          </w:p>
        </w:tc>
      </w:tr>
      <w:tr w:rsidR="001C0E70" w:rsidRPr="001C0E70" w14:paraId="207FA73F" w14:textId="77777777" w:rsidTr="001C0E70">
        <w:tc>
          <w:tcPr>
            <w:tcW w:w="4531" w:type="dxa"/>
          </w:tcPr>
          <w:p w14:paraId="742D9417" w14:textId="77777777" w:rsidR="001C0E70" w:rsidRPr="001C0E70" w:rsidRDefault="001C0E70">
            <w:r w:rsidRPr="001C0E70">
              <w:t>Beschreibung des operativen Geschäfts</w:t>
            </w:r>
          </w:p>
        </w:tc>
        <w:tc>
          <w:tcPr>
            <w:tcW w:w="4531" w:type="dxa"/>
          </w:tcPr>
          <w:p w14:paraId="0813DE5C" w14:textId="5B403853" w:rsidR="009E2804" w:rsidRDefault="009E2804" w:rsidP="009E2804">
            <w:r w:rsidRPr="009E2804">
              <w:t>Die Beta Systems Software</w:t>
            </w:r>
            <w:r w:rsidR="00E85C26">
              <w:t>-Gruppe</w:t>
            </w:r>
            <w:r w:rsidRPr="009E2804">
              <w:t xml:space="preserve"> ist ein führender unabhängiger Softwareanbieter mit Sitz in Berlin, der Unternehmen mit komplexen IT-Systemlandschaften und anspruchsvollen IT-Prozessen unterstützt. Seit über 40 Jahren am Markt, vertrauen weltweit über 800 Unternehmen auf unsere Lösungen, insbesondere in den Bereichen Finanzdienstleistungen, Versicherungen, Fertigung, Energie, Agrar &amp; Bau, Handel und IT-Services.</w:t>
            </w:r>
          </w:p>
          <w:p w14:paraId="07E375A7" w14:textId="77777777" w:rsidR="009E2804" w:rsidRDefault="009E2804" w:rsidP="009E2804">
            <w:r w:rsidRPr="009E2804">
              <w:br/>
              <w:t xml:space="preserve">Das Produktportfolio umfasst innovative Softwarelösungen zur Automatisierung, Dokumentation, Analyse und Überwachung von IT-Prozessen in den Bereichen Workload Automation, einschließlich einer Next-Gen Enterprise Automation- und Orchestrierungsplattform, Log Management, Output Management, Mainframe Utilities, IT </w:t>
            </w:r>
            <w:r w:rsidRPr="009E2804">
              <w:lastRenderedPageBreak/>
              <w:t>Operations Management sowie Identity &amp; Access Management – sowohl on-premise als auch für Cloud-Umgebungen. In einer zunehmend komplexen IT-Landschaft, in der Transaktionsvolumen und Datenmengen steigen und die Compliance-Anforderungen strenger werden, bietet Beta Systems leistungsstarke Softwarelösungen, die die notwendige Flexibilität, Effizienz und Stabilität gewährleisten, um IT-Prozesse sicher und zuverlässig zu steuern.</w:t>
            </w:r>
          </w:p>
          <w:p w14:paraId="1C73C600" w14:textId="7033366E" w:rsidR="001C0E70" w:rsidRPr="001C0E70" w:rsidRDefault="009E2804" w:rsidP="009E2804">
            <w:r w:rsidRPr="009E2804">
              <w:br/>
              <w:t>Mit rund 6</w:t>
            </w:r>
            <w:r w:rsidR="00DD6DF4">
              <w:t>0</w:t>
            </w:r>
            <w:r w:rsidRPr="009E2804">
              <w:t>0 Mitarbeitenden weltweit und einer internationalen Ausrichtung mit mehr als 20 eigenen Konzerngesellschaften und zahlreichen Partnerunternehmen, hat sich die Beta Systems Gruppe als einer der führenden Softwareanbieter im europäischen Mittelstand etabliert.</w:t>
            </w:r>
          </w:p>
        </w:tc>
      </w:tr>
      <w:tr w:rsidR="001C0E70" w:rsidRPr="001C0E70" w14:paraId="7C54D298" w14:textId="77777777" w:rsidTr="001C0E70">
        <w:tc>
          <w:tcPr>
            <w:tcW w:w="4531" w:type="dxa"/>
            <w:tcBorders>
              <w:bottom w:val="single" w:sz="4" w:space="0" w:color="auto"/>
            </w:tcBorders>
          </w:tcPr>
          <w:p w14:paraId="5C3FED08" w14:textId="77777777" w:rsidR="001C0E70" w:rsidRPr="001C0E70" w:rsidRDefault="001C0E70">
            <w:r w:rsidRPr="001C0E70">
              <w:lastRenderedPageBreak/>
              <w:t>Geschäftsbereiche und Produkte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75413F" w14:textId="77777777" w:rsidR="001C0E70" w:rsidRPr="001C0E70" w:rsidRDefault="001C0E70" w:rsidP="0029792E">
            <w:r w:rsidRPr="00B24C35">
              <w:t>Die Beta Systems Software Aktiengesellschaft ist in den Geschäfts</w:t>
            </w:r>
            <w:r w:rsidR="00360E30">
              <w:t>bereichen</w:t>
            </w:r>
            <w:r w:rsidRPr="00B24C35">
              <w:t xml:space="preserve"> </w:t>
            </w:r>
            <w:r w:rsidRPr="003433B6">
              <w:t xml:space="preserve">Identity </w:t>
            </w:r>
            <w:r w:rsidR="00814057" w:rsidRPr="003433B6">
              <w:t xml:space="preserve">&amp; Access </w:t>
            </w:r>
            <w:r w:rsidRPr="003433B6">
              <w:t>Management</w:t>
            </w:r>
            <w:r w:rsidR="00814057" w:rsidRPr="003433B6">
              <w:t xml:space="preserve"> (IAM)</w:t>
            </w:r>
            <w:r w:rsidR="003433B6" w:rsidRPr="003433B6">
              <w:t>,</w:t>
            </w:r>
            <w:r w:rsidR="00142507" w:rsidRPr="003433B6">
              <w:t xml:space="preserve"> </w:t>
            </w:r>
            <w:r w:rsidRPr="003433B6">
              <w:t xml:space="preserve">Data Center </w:t>
            </w:r>
            <w:r w:rsidR="00814057" w:rsidRPr="003433B6">
              <w:t>Intelligence (DCI)</w:t>
            </w:r>
            <w:r w:rsidR="003433B6" w:rsidRPr="003433B6">
              <w:t xml:space="preserve"> und Digitalisierung</w:t>
            </w:r>
            <w:r w:rsidRPr="00B24C35">
              <w:t xml:space="preserve"> in den </w:t>
            </w:r>
            <w:r w:rsidR="0029792E">
              <w:t>Leistungsarten</w:t>
            </w:r>
            <w:r w:rsidRPr="00B24C35">
              <w:t xml:space="preserve"> Software, Wartung </w:t>
            </w:r>
            <w:r w:rsidR="003433B6">
              <w:t xml:space="preserve">und Services </w:t>
            </w:r>
            <w:r w:rsidRPr="00B24C35">
              <w:t>aktiv.</w:t>
            </w:r>
          </w:p>
        </w:tc>
      </w:tr>
      <w:tr w:rsidR="002A42B7" w:rsidRPr="001C0E70" w14:paraId="2FC82ABF" w14:textId="77777777" w:rsidTr="002A42B7">
        <w:tc>
          <w:tcPr>
            <w:tcW w:w="9062" w:type="dxa"/>
            <w:gridSpan w:val="2"/>
            <w:shd w:val="clear" w:color="auto" w:fill="AEAAAA" w:themeFill="background2" w:themeFillShade="BF"/>
          </w:tcPr>
          <w:p w14:paraId="5D2000B6" w14:textId="77777777" w:rsidR="002A42B7" w:rsidRPr="001C0E70" w:rsidRDefault="002A42B7">
            <w:r w:rsidRPr="001C0E70">
              <w:t>Wesentliche Handelsdaten</w:t>
            </w:r>
          </w:p>
        </w:tc>
      </w:tr>
      <w:tr w:rsidR="001C0E70" w:rsidRPr="001C0E70" w14:paraId="4BE96095" w14:textId="77777777" w:rsidTr="001C0E70">
        <w:tc>
          <w:tcPr>
            <w:tcW w:w="4531" w:type="dxa"/>
          </w:tcPr>
          <w:p w14:paraId="2D1CB90E" w14:textId="790D1159" w:rsidR="001C0E70" w:rsidRPr="001C0E70" w:rsidRDefault="001C0E70">
            <w:r w:rsidRPr="001C0E70">
              <w:t>ISIN</w:t>
            </w:r>
            <w:r w:rsidR="00B971BA">
              <w:t>/WKN</w:t>
            </w:r>
            <w:r w:rsidRPr="001C0E70">
              <w:tab/>
            </w:r>
          </w:p>
        </w:tc>
        <w:tc>
          <w:tcPr>
            <w:tcW w:w="4531" w:type="dxa"/>
          </w:tcPr>
          <w:p w14:paraId="41F4157E" w14:textId="1D6AD054" w:rsidR="001C0E70" w:rsidRPr="001C0E70" w:rsidRDefault="00B971BA" w:rsidP="00B971BA">
            <w:pPr>
              <w:ind w:left="-113"/>
            </w:pPr>
            <w:r w:rsidRPr="00B971BA">
              <w:tab/>
              <w:t>DE000A0NK3W4 / A0NK3W</w:t>
            </w:r>
          </w:p>
        </w:tc>
      </w:tr>
      <w:tr w:rsidR="004F797B" w:rsidRPr="001C0E70" w14:paraId="43D6BD69" w14:textId="77777777" w:rsidTr="001C0E70">
        <w:tc>
          <w:tcPr>
            <w:tcW w:w="4531" w:type="dxa"/>
          </w:tcPr>
          <w:p w14:paraId="2EBF0BF4" w14:textId="77777777" w:rsidR="004F797B" w:rsidRPr="001C0E70" w:rsidRDefault="004F797B">
            <w:pPr>
              <w:rPr>
                <w:lang w:val="en-US"/>
              </w:rPr>
            </w:pPr>
            <w:r>
              <w:rPr>
                <w:lang w:val="en-US"/>
              </w:rPr>
              <w:t>Marktplatz</w:t>
            </w:r>
          </w:p>
        </w:tc>
        <w:tc>
          <w:tcPr>
            <w:tcW w:w="4531" w:type="dxa"/>
          </w:tcPr>
          <w:p w14:paraId="723A5B8A" w14:textId="6E9BF94A" w:rsidR="004F797B" w:rsidRPr="00DC2AF9" w:rsidRDefault="004F797B">
            <w:pPr>
              <w:rPr>
                <w:lang w:val="en-US"/>
              </w:rPr>
            </w:pPr>
            <w:r>
              <w:rPr>
                <w:lang w:val="en-US"/>
              </w:rPr>
              <w:t>Frankfurt</w:t>
            </w:r>
            <w:r w:rsidR="00067AC2">
              <w:rPr>
                <w:lang w:val="en-US"/>
              </w:rPr>
              <w:t xml:space="preserve"> - </w:t>
            </w:r>
            <w:r w:rsidR="007111EC">
              <w:rPr>
                <w:lang w:val="en-US"/>
              </w:rPr>
              <w:t>Freiverkehr</w:t>
            </w:r>
            <w:r w:rsidR="00067AC2">
              <w:rPr>
                <w:lang w:val="en-US"/>
              </w:rPr>
              <w:t xml:space="preserve"> </w:t>
            </w:r>
            <w:r w:rsidR="00D25B81">
              <w:rPr>
                <w:lang w:val="en-US"/>
              </w:rPr>
              <w:t>–</w:t>
            </w:r>
            <w:r w:rsidR="00067AC2">
              <w:rPr>
                <w:lang w:val="en-US"/>
              </w:rPr>
              <w:t xml:space="preserve"> </w:t>
            </w:r>
            <w:r w:rsidR="00D25B81">
              <w:rPr>
                <w:lang w:val="en-US"/>
              </w:rPr>
              <w:t>Basic Board</w:t>
            </w:r>
          </w:p>
        </w:tc>
      </w:tr>
      <w:tr w:rsidR="002A42B7" w:rsidRPr="001C0E70" w14:paraId="02A81D4B" w14:textId="77777777" w:rsidTr="002A42B7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02D3DC9" w14:textId="77777777" w:rsidR="002A42B7" w:rsidRPr="001C0E70" w:rsidRDefault="002A42B7">
            <w:pPr>
              <w:rPr>
                <w:lang w:val="en-US"/>
              </w:rPr>
            </w:pPr>
            <w:r w:rsidRPr="001C0E70">
              <w:rPr>
                <w:lang w:val="en-US"/>
              </w:rPr>
              <w:t>Wesentliche Wertpapierdaten</w:t>
            </w:r>
          </w:p>
        </w:tc>
      </w:tr>
      <w:tr w:rsidR="001C0E70" w:rsidRPr="001C0E70" w14:paraId="2D0EBF86" w14:textId="77777777" w:rsidTr="001C0E70">
        <w:tc>
          <w:tcPr>
            <w:tcW w:w="4531" w:type="dxa"/>
          </w:tcPr>
          <w:p w14:paraId="06786E7D" w14:textId="77777777" w:rsidR="001C0E70" w:rsidRPr="00AA0914" w:rsidRDefault="001C0E70">
            <w:r w:rsidRPr="00AA0914">
              <w:t>Gesamtzahl der Aktien oder Aktien vertretenden Zertifikate</w:t>
            </w:r>
          </w:p>
        </w:tc>
        <w:tc>
          <w:tcPr>
            <w:tcW w:w="4531" w:type="dxa"/>
          </w:tcPr>
          <w:p w14:paraId="55335347" w14:textId="04A0B024" w:rsidR="001C0E70" w:rsidRPr="00AA0914" w:rsidRDefault="00B971BA" w:rsidP="000A47DC">
            <w:r>
              <w:t xml:space="preserve">6.279.843 </w:t>
            </w:r>
            <w:r w:rsidR="00DC2AF9" w:rsidRPr="00AA0914">
              <w:t>Stückaktien</w:t>
            </w:r>
          </w:p>
        </w:tc>
      </w:tr>
      <w:tr w:rsidR="001C0E70" w:rsidRPr="001C0E70" w14:paraId="17DB89D3" w14:textId="77777777" w:rsidTr="001C0E70">
        <w:tc>
          <w:tcPr>
            <w:tcW w:w="4531" w:type="dxa"/>
          </w:tcPr>
          <w:p w14:paraId="29D64216" w14:textId="77777777" w:rsidR="001C0E70" w:rsidRPr="001C0E70" w:rsidRDefault="001C0E70">
            <w:r w:rsidRPr="001C0E70">
              <w:t>Höhe des Grundkapitals</w:t>
            </w:r>
          </w:p>
        </w:tc>
        <w:tc>
          <w:tcPr>
            <w:tcW w:w="4531" w:type="dxa"/>
          </w:tcPr>
          <w:p w14:paraId="1BB207A2" w14:textId="49F951E6" w:rsidR="001C0E70" w:rsidRPr="001C0E70" w:rsidRDefault="00DC2AF9" w:rsidP="000A47DC">
            <w:r w:rsidRPr="00590FD4">
              <w:t xml:space="preserve">EUR </w:t>
            </w:r>
            <w:r w:rsidR="00B971BA">
              <w:t>6.279.843</w:t>
            </w:r>
          </w:p>
        </w:tc>
      </w:tr>
      <w:tr w:rsidR="008226DB" w:rsidRPr="00067AC2" w14:paraId="42C390AF" w14:textId="77777777" w:rsidTr="001C0E70">
        <w:tc>
          <w:tcPr>
            <w:tcW w:w="4531" w:type="dxa"/>
          </w:tcPr>
          <w:p w14:paraId="5C43316D" w14:textId="77777777" w:rsidR="008226DB" w:rsidRPr="001C0E70" w:rsidRDefault="008226DB" w:rsidP="00A004FD">
            <w:r>
              <w:t>Aktionärsstruktur</w:t>
            </w:r>
          </w:p>
        </w:tc>
        <w:tc>
          <w:tcPr>
            <w:tcW w:w="4531" w:type="dxa"/>
          </w:tcPr>
          <w:p w14:paraId="26DA87E5" w14:textId="77777777" w:rsidR="000B7912" w:rsidRDefault="00B971BA" w:rsidP="00D15314">
            <w:r>
              <w:t>Deutsche Balaton</w:t>
            </w:r>
            <w:r w:rsidR="00D15314">
              <w:t xml:space="preserve"> AG                                   </w:t>
            </w:r>
          </w:p>
          <w:p w14:paraId="67BF4268" w14:textId="4DEE37B0" w:rsidR="00D15314" w:rsidRDefault="00DD6DF4" w:rsidP="003912FE">
            <w:pPr>
              <w:pStyle w:val="ListParagraph"/>
              <w:numPr>
                <w:ilvl w:val="0"/>
                <w:numId w:val="5"/>
              </w:numPr>
            </w:pPr>
            <w:r>
              <w:t>70</w:t>
            </w:r>
            <w:r w:rsidR="003912FE">
              <w:t xml:space="preserve"> %</w:t>
            </w:r>
          </w:p>
          <w:p w14:paraId="2F636E6B" w14:textId="19F8B4E5" w:rsidR="007402C2" w:rsidRPr="00DF25E8" w:rsidRDefault="005273E3" w:rsidP="00D15314">
            <w:pPr>
              <w:rPr>
                <w:sz w:val="16"/>
                <w:szCs w:val="16"/>
              </w:rPr>
            </w:pPr>
            <w:r w:rsidRPr="00DF25E8">
              <w:rPr>
                <w:sz w:val="16"/>
                <w:szCs w:val="16"/>
              </w:rPr>
              <w:t xml:space="preserve">(Die Beta Systems Software AG ist im Freiverkehr, Börsensegment </w:t>
            </w:r>
            <w:r w:rsidR="000B7912">
              <w:rPr>
                <w:sz w:val="16"/>
                <w:szCs w:val="16"/>
              </w:rPr>
              <w:t>Basic Board</w:t>
            </w:r>
            <w:r w:rsidRPr="00DF25E8">
              <w:rPr>
                <w:sz w:val="16"/>
                <w:szCs w:val="16"/>
              </w:rPr>
              <w:t>, notiert. Die Anleger unterliegen damit nicht den Meldepflichten bei Erreichen bestimmter Schwellenwerte eines Aktienbesitzes nach WpHG. Der Gesellschaft sind weitere verlässliche Angaben zum Aktienbesitz nicht möglich.)</w:t>
            </w:r>
          </w:p>
          <w:p w14:paraId="148FC229" w14:textId="77777777" w:rsidR="00FC44BF" w:rsidRPr="00DF25E8" w:rsidRDefault="00FC44BF" w:rsidP="007402C2">
            <w:pPr>
              <w:rPr>
                <w:sz w:val="16"/>
                <w:szCs w:val="16"/>
              </w:rPr>
            </w:pPr>
          </w:p>
          <w:p w14:paraId="6A1856B7" w14:textId="77777777" w:rsidR="00FC44BF" w:rsidRPr="00DF25E8" w:rsidRDefault="00FC44BF" w:rsidP="007402C2">
            <w:pPr>
              <w:rPr>
                <w:sz w:val="16"/>
                <w:szCs w:val="16"/>
              </w:rPr>
            </w:pPr>
          </w:p>
        </w:tc>
      </w:tr>
    </w:tbl>
    <w:p w14:paraId="751B2387" w14:textId="77777777" w:rsidR="002F5A58" w:rsidRDefault="002F5A58"/>
    <w:p w14:paraId="2D2ED806" w14:textId="16C4A332" w:rsidR="00707D64" w:rsidRPr="001C0E70" w:rsidRDefault="00707D64">
      <w:r w:rsidRPr="00707D64">
        <w:t xml:space="preserve">Beta Systems Software AG </w:t>
      </w:r>
      <w:r w:rsidR="009474D5">
        <w:br/>
      </w:r>
      <w:r w:rsidR="00B633A0">
        <w:t>Ernst</w:t>
      </w:r>
      <w:r w:rsidRPr="00707D64">
        <w:t>-</w:t>
      </w:r>
      <w:r w:rsidR="00B633A0">
        <w:t>Reuter-Platz 6</w:t>
      </w:r>
      <w:r w:rsidRPr="00707D64">
        <w:t xml:space="preserve"> </w:t>
      </w:r>
      <w:r w:rsidR="009474D5">
        <w:br/>
      </w:r>
      <w:r w:rsidRPr="00707D64">
        <w:t>105</w:t>
      </w:r>
      <w:r w:rsidR="00B633A0">
        <w:t>87</w:t>
      </w:r>
      <w:r w:rsidRPr="00707D64">
        <w:t xml:space="preserve"> Berlin </w:t>
      </w:r>
      <w:r w:rsidR="009474D5">
        <w:br/>
      </w:r>
      <w:r w:rsidR="009474D5">
        <w:br/>
      </w:r>
      <w:r w:rsidRPr="00707D64">
        <w:t xml:space="preserve">Tel.: +49 (0)30 - 726 118 – 0 </w:t>
      </w:r>
      <w:r w:rsidR="009474D5">
        <w:br/>
      </w:r>
      <w:r w:rsidR="009474D5">
        <w:br/>
      </w:r>
      <w:r w:rsidRPr="00707D64">
        <w:t xml:space="preserve">Internet: www.betasystems.com </w:t>
      </w:r>
      <w:r w:rsidR="009474D5">
        <w:br/>
      </w:r>
      <w:r w:rsidRPr="00707D64">
        <w:t>E-Mail: ir@betasystems.com</w:t>
      </w:r>
    </w:p>
    <w:sectPr w:rsidR="00707D64" w:rsidRPr="001C0E70" w:rsidSect="009474D5">
      <w:headerReference w:type="default" r:id="rId8"/>
      <w:endnotePr>
        <w:numFmt w:val="decimal"/>
      </w:endnotePr>
      <w:pgSz w:w="11906" w:h="16838"/>
      <w:pgMar w:top="1262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26B8" w14:textId="77777777" w:rsidR="007D3869" w:rsidRDefault="007D3869" w:rsidP="00B430CE">
      <w:pPr>
        <w:spacing w:after="0" w:line="240" w:lineRule="auto"/>
      </w:pPr>
      <w:r>
        <w:separator/>
      </w:r>
    </w:p>
  </w:endnote>
  <w:endnote w:type="continuationSeparator" w:id="0">
    <w:p w14:paraId="6BE52279" w14:textId="77777777" w:rsidR="007D3869" w:rsidRDefault="007D3869" w:rsidP="00B430CE">
      <w:pPr>
        <w:spacing w:after="0" w:line="240" w:lineRule="auto"/>
      </w:pPr>
      <w:r>
        <w:continuationSeparator/>
      </w:r>
    </w:p>
  </w:endnote>
  <w:endnote w:type="continuationNotice" w:id="1">
    <w:p w14:paraId="5202F2FD" w14:textId="77777777" w:rsidR="007D3869" w:rsidRDefault="007D3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77A9" w14:textId="77777777" w:rsidR="007D3869" w:rsidRDefault="007D3869" w:rsidP="00B430CE">
      <w:pPr>
        <w:spacing w:after="0" w:line="240" w:lineRule="auto"/>
      </w:pPr>
      <w:r>
        <w:separator/>
      </w:r>
    </w:p>
  </w:footnote>
  <w:footnote w:type="continuationSeparator" w:id="0">
    <w:p w14:paraId="32263C50" w14:textId="77777777" w:rsidR="007D3869" w:rsidRDefault="007D3869" w:rsidP="00B430CE">
      <w:pPr>
        <w:spacing w:after="0" w:line="240" w:lineRule="auto"/>
      </w:pPr>
      <w:r>
        <w:continuationSeparator/>
      </w:r>
    </w:p>
  </w:footnote>
  <w:footnote w:type="continuationNotice" w:id="1">
    <w:p w14:paraId="7E02EF59" w14:textId="77777777" w:rsidR="007D3869" w:rsidRDefault="007D3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0B94" w14:textId="77777777" w:rsidR="00B430CE" w:rsidRDefault="00B430CE" w:rsidP="00B430CE">
    <w:pPr>
      <w:pStyle w:val="Header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BC02375" wp14:editId="698FA377">
          <wp:simplePos x="0" y="0"/>
          <wp:positionH relativeFrom="column">
            <wp:posOffset>1868805</wp:posOffset>
          </wp:positionH>
          <wp:positionV relativeFrom="paragraph">
            <wp:posOffset>-220345</wp:posOffset>
          </wp:positionV>
          <wp:extent cx="2012950" cy="434546"/>
          <wp:effectExtent l="0" t="0" r="6350" b="381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43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226E"/>
    <w:multiLevelType w:val="hybridMultilevel"/>
    <w:tmpl w:val="B4FA9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16675"/>
    <w:multiLevelType w:val="hybridMultilevel"/>
    <w:tmpl w:val="BADC1D9C"/>
    <w:lvl w:ilvl="0" w:tplc="2000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460D2A84"/>
    <w:multiLevelType w:val="hybridMultilevel"/>
    <w:tmpl w:val="AF98D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E0212"/>
    <w:multiLevelType w:val="hybridMultilevel"/>
    <w:tmpl w:val="19FC20E0"/>
    <w:lvl w:ilvl="0" w:tplc="3398C3E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76343"/>
    <w:multiLevelType w:val="hybridMultilevel"/>
    <w:tmpl w:val="B99E5546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25751">
    <w:abstractNumId w:val="0"/>
  </w:num>
  <w:num w:numId="2" w16cid:durableId="1664891492">
    <w:abstractNumId w:val="2"/>
  </w:num>
  <w:num w:numId="3" w16cid:durableId="1018392411">
    <w:abstractNumId w:val="4"/>
  </w:num>
  <w:num w:numId="4" w16cid:durableId="866871859">
    <w:abstractNumId w:val="1"/>
  </w:num>
  <w:num w:numId="5" w16cid:durableId="205346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70"/>
    <w:rsid w:val="00031412"/>
    <w:rsid w:val="0003422B"/>
    <w:rsid w:val="00040B5C"/>
    <w:rsid w:val="000451FA"/>
    <w:rsid w:val="00067AC2"/>
    <w:rsid w:val="000A47DC"/>
    <w:rsid w:val="000B7912"/>
    <w:rsid w:val="000D596A"/>
    <w:rsid w:val="000E2C2D"/>
    <w:rsid w:val="000F3BF3"/>
    <w:rsid w:val="00102928"/>
    <w:rsid w:val="00133A52"/>
    <w:rsid w:val="00142507"/>
    <w:rsid w:val="00156F52"/>
    <w:rsid w:val="001705D4"/>
    <w:rsid w:val="0018771D"/>
    <w:rsid w:val="0019781F"/>
    <w:rsid w:val="001B42A6"/>
    <w:rsid w:val="001C0E70"/>
    <w:rsid w:val="001C65CA"/>
    <w:rsid w:val="001D59B8"/>
    <w:rsid w:val="001E775F"/>
    <w:rsid w:val="00243E3E"/>
    <w:rsid w:val="00271EAC"/>
    <w:rsid w:val="0028096D"/>
    <w:rsid w:val="00290D22"/>
    <w:rsid w:val="0029792E"/>
    <w:rsid w:val="002A42B7"/>
    <w:rsid w:val="002A4B99"/>
    <w:rsid w:val="002B0A4E"/>
    <w:rsid w:val="002C13FC"/>
    <w:rsid w:val="002C37E6"/>
    <w:rsid w:val="002D0704"/>
    <w:rsid w:val="002E3F8B"/>
    <w:rsid w:val="002F5A58"/>
    <w:rsid w:val="00335197"/>
    <w:rsid w:val="003433B6"/>
    <w:rsid w:val="00360E30"/>
    <w:rsid w:val="00363B30"/>
    <w:rsid w:val="003912FE"/>
    <w:rsid w:val="003A4B2B"/>
    <w:rsid w:val="003A75F9"/>
    <w:rsid w:val="003B15E2"/>
    <w:rsid w:val="003D0766"/>
    <w:rsid w:val="003E07D0"/>
    <w:rsid w:val="00420FCA"/>
    <w:rsid w:val="00432D45"/>
    <w:rsid w:val="00443B33"/>
    <w:rsid w:val="004458AB"/>
    <w:rsid w:val="00451398"/>
    <w:rsid w:val="00454AD9"/>
    <w:rsid w:val="00454E91"/>
    <w:rsid w:val="00467FF3"/>
    <w:rsid w:val="00484DCC"/>
    <w:rsid w:val="004E1067"/>
    <w:rsid w:val="004F797B"/>
    <w:rsid w:val="00504F71"/>
    <w:rsid w:val="00512E77"/>
    <w:rsid w:val="005273E3"/>
    <w:rsid w:val="00537636"/>
    <w:rsid w:val="00547A58"/>
    <w:rsid w:val="00590FD4"/>
    <w:rsid w:val="00620A0B"/>
    <w:rsid w:val="00626C88"/>
    <w:rsid w:val="00655379"/>
    <w:rsid w:val="00662611"/>
    <w:rsid w:val="00665E59"/>
    <w:rsid w:val="006700A5"/>
    <w:rsid w:val="00671733"/>
    <w:rsid w:val="006830EF"/>
    <w:rsid w:val="006858EE"/>
    <w:rsid w:val="006B1936"/>
    <w:rsid w:val="006D352C"/>
    <w:rsid w:val="006D7394"/>
    <w:rsid w:val="00706253"/>
    <w:rsid w:val="00707D64"/>
    <w:rsid w:val="007111EC"/>
    <w:rsid w:val="00714F1F"/>
    <w:rsid w:val="007156E6"/>
    <w:rsid w:val="007235BB"/>
    <w:rsid w:val="007402C2"/>
    <w:rsid w:val="00765C1E"/>
    <w:rsid w:val="007B6B8A"/>
    <w:rsid w:val="007C1D76"/>
    <w:rsid w:val="007C753C"/>
    <w:rsid w:val="007D3869"/>
    <w:rsid w:val="007D72E0"/>
    <w:rsid w:val="007E49B5"/>
    <w:rsid w:val="0080531D"/>
    <w:rsid w:val="008068CB"/>
    <w:rsid w:val="00810FCD"/>
    <w:rsid w:val="00814057"/>
    <w:rsid w:val="008226DB"/>
    <w:rsid w:val="00824241"/>
    <w:rsid w:val="008B2B91"/>
    <w:rsid w:val="008E177A"/>
    <w:rsid w:val="008F5030"/>
    <w:rsid w:val="00910708"/>
    <w:rsid w:val="00934314"/>
    <w:rsid w:val="009474D5"/>
    <w:rsid w:val="00957092"/>
    <w:rsid w:val="0097463F"/>
    <w:rsid w:val="00994062"/>
    <w:rsid w:val="009A5E9C"/>
    <w:rsid w:val="009E2804"/>
    <w:rsid w:val="009E4FD1"/>
    <w:rsid w:val="009E5DC2"/>
    <w:rsid w:val="00A004FD"/>
    <w:rsid w:val="00A37B41"/>
    <w:rsid w:val="00A44F4A"/>
    <w:rsid w:val="00A46EF1"/>
    <w:rsid w:val="00A6501E"/>
    <w:rsid w:val="00A67C82"/>
    <w:rsid w:val="00A86FA0"/>
    <w:rsid w:val="00AA0914"/>
    <w:rsid w:val="00B24C35"/>
    <w:rsid w:val="00B430CE"/>
    <w:rsid w:val="00B44EE7"/>
    <w:rsid w:val="00B633A0"/>
    <w:rsid w:val="00B971BA"/>
    <w:rsid w:val="00BB71D4"/>
    <w:rsid w:val="00C00E08"/>
    <w:rsid w:val="00C24D82"/>
    <w:rsid w:val="00C30C8A"/>
    <w:rsid w:val="00C31503"/>
    <w:rsid w:val="00C54AA4"/>
    <w:rsid w:val="00C7544A"/>
    <w:rsid w:val="00C81535"/>
    <w:rsid w:val="00C84E2A"/>
    <w:rsid w:val="00CE6C2C"/>
    <w:rsid w:val="00CF3FD2"/>
    <w:rsid w:val="00D15314"/>
    <w:rsid w:val="00D209B5"/>
    <w:rsid w:val="00D2328D"/>
    <w:rsid w:val="00D25B81"/>
    <w:rsid w:val="00D26557"/>
    <w:rsid w:val="00D32389"/>
    <w:rsid w:val="00D3507A"/>
    <w:rsid w:val="00D35BE2"/>
    <w:rsid w:val="00D575C4"/>
    <w:rsid w:val="00D73D3F"/>
    <w:rsid w:val="00D839BA"/>
    <w:rsid w:val="00D85074"/>
    <w:rsid w:val="00DC2AF9"/>
    <w:rsid w:val="00DD5805"/>
    <w:rsid w:val="00DD6DF4"/>
    <w:rsid w:val="00DF25E8"/>
    <w:rsid w:val="00E25CDF"/>
    <w:rsid w:val="00E37082"/>
    <w:rsid w:val="00E85C26"/>
    <w:rsid w:val="00EA64FD"/>
    <w:rsid w:val="00F120DE"/>
    <w:rsid w:val="00F423D0"/>
    <w:rsid w:val="00F9158A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044B7"/>
  <w15:docId w15:val="{FE4FF5B3-889A-4253-949F-04F83BA7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CE"/>
  </w:style>
  <w:style w:type="paragraph" w:styleId="Footer">
    <w:name w:val="footer"/>
    <w:basedOn w:val="Normal"/>
    <w:link w:val="FooterChar"/>
    <w:uiPriority w:val="99"/>
    <w:unhideWhenUsed/>
    <w:rsid w:val="00B4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CE"/>
  </w:style>
  <w:style w:type="character" w:styleId="Hyperlink">
    <w:name w:val="Hyperlink"/>
    <w:basedOn w:val="DefaultParagraphFont"/>
    <w:uiPriority w:val="99"/>
    <w:unhideWhenUsed/>
    <w:rsid w:val="00F9158A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44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44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44BF"/>
    <w:rPr>
      <w:vertAlign w:val="superscript"/>
    </w:rPr>
  </w:style>
  <w:style w:type="character" w:customStyle="1" w:styleId="st1">
    <w:name w:val="st1"/>
    <w:basedOn w:val="DefaultParagraphFont"/>
    <w:rsid w:val="00DF25E8"/>
  </w:style>
  <w:style w:type="character" w:styleId="CommentReference">
    <w:name w:val="annotation reference"/>
    <w:basedOn w:val="DefaultParagraphFont"/>
    <w:uiPriority w:val="99"/>
    <w:semiHidden/>
    <w:unhideWhenUsed/>
    <w:rsid w:val="004E1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0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5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D6B2-3A76-4EB5-A6AB-CEE2B956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Beta Systems Software AG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Haase, Wolfgang</dc:creator>
  <cp:lastModifiedBy>Dr. Martin Thürling</cp:lastModifiedBy>
  <cp:revision>4</cp:revision>
  <dcterms:created xsi:type="dcterms:W3CDTF">2026-01-19T13:31:00Z</dcterms:created>
  <dcterms:modified xsi:type="dcterms:W3CDTF">2026-01-19T13:32:00Z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fb62a-ed2d-4ad9-847b-73a5872f1be7_Enabled">
    <vt:lpwstr>true</vt:lpwstr>
  </property>
  <property fmtid="{D5CDD505-2E9C-101B-9397-08002B2CF9AE}" pid="3" name="MSIP_Label_e5ffb62a-ed2d-4ad9-847b-73a5872f1be7_SetDate">
    <vt:lpwstr>2023-11-20T12:45:08Z</vt:lpwstr>
  </property>
  <property fmtid="{D5CDD505-2E9C-101B-9397-08002B2CF9AE}" pid="4" name="MSIP_Label_e5ffb62a-ed2d-4ad9-847b-73a5872f1be7_Method">
    <vt:lpwstr>Privileged</vt:lpwstr>
  </property>
  <property fmtid="{D5CDD505-2E9C-101B-9397-08002B2CF9AE}" pid="5" name="MSIP_Label_e5ffb62a-ed2d-4ad9-847b-73a5872f1be7_Name">
    <vt:lpwstr>Public</vt:lpwstr>
  </property>
  <property fmtid="{D5CDD505-2E9C-101B-9397-08002B2CF9AE}" pid="6" name="MSIP_Label_e5ffb62a-ed2d-4ad9-847b-73a5872f1be7_SiteId">
    <vt:lpwstr>7141afe8-6ace-4bef-b57a-f0be4be02b31</vt:lpwstr>
  </property>
  <property fmtid="{D5CDD505-2E9C-101B-9397-08002B2CF9AE}" pid="7" name="MSIP_Label_e5ffb62a-ed2d-4ad9-847b-73a5872f1be7_ActionId">
    <vt:lpwstr>a335e97c-7455-4d2b-812b-1eb72e4f89b5</vt:lpwstr>
  </property>
  <property fmtid="{D5CDD505-2E9C-101B-9397-08002B2CF9AE}" pid="8" name="MSIP_Label_e5ffb62a-ed2d-4ad9-847b-73a5872f1be7_ContentBits">
    <vt:lpwstr>0</vt:lpwstr>
  </property>
</Properties>
</file>